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BAE0A" w14:textId="03297376" w:rsidR="00E32DDC" w:rsidRPr="00CA2A40" w:rsidRDefault="00E32DDC" w:rsidP="00E32DDC">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F16D07">
        <w:rPr>
          <w:szCs w:val="22"/>
        </w:rPr>
        <w:t>2416186</w:t>
      </w:r>
      <w:bookmarkStart w:id="2" w:name="_GoBack"/>
      <w:bookmarkEnd w:id="2"/>
    </w:p>
    <w:p w14:paraId="1DC1B158" w14:textId="7EE0A4D3" w:rsidR="00675C27" w:rsidRPr="00CA2A40" w:rsidRDefault="00E32DDC" w:rsidP="00E32DDC">
      <w:pPr>
        <w:pStyle w:val="afb"/>
        <w:rPr>
          <w:rFonts w:eastAsia="宋体"/>
          <w:szCs w:val="22"/>
          <w:lang w:eastAsia="zh-CN"/>
        </w:rPr>
      </w:pPr>
      <w:r>
        <w:rPr>
          <w:rFonts w:cs="Arial"/>
          <w:szCs w:val="22"/>
        </w:rPr>
        <w:t>Hefei</w:t>
      </w:r>
      <w:r w:rsidRPr="00CA2A40">
        <w:rPr>
          <w:rFonts w:cs="Arial"/>
          <w:szCs w:val="22"/>
        </w:rPr>
        <w:t xml:space="preserve">, </w:t>
      </w:r>
      <w:r>
        <w:rPr>
          <w:rFonts w:cs="Arial"/>
          <w:szCs w:val="22"/>
        </w:rPr>
        <w:t>Anhui, China</w:t>
      </w:r>
      <w:r w:rsidRPr="00CA2A40">
        <w:rPr>
          <w:rFonts w:cs="Arial"/>
          <w:szCs w:val="22"/>
        </w:rPr>
        <w:t xml:space="preserve">, </w:t>
      </w:r>
      <w:r>
        <w:rPr>
          <w:rFonts w:cs="Arial"/>
          <w:szCs w:val="22"/>
        </w:rPr>
        <w:t>October</w:t>
      </w:r>
      <w:r w:rsidRPr="00CA2A40">
        <w:rPr>
          <w:rFonts w:cs="Arial"/>
          <w:szCs w:val="22"/>
        </w:rPr>
        <w:t xml:space="preserve"> </w:t>
      </w:r>
      <w:r>
        <w:rPr>
          <w:rFonts w:cs="Arial"/>
          <w:szCs w:val="22"/>
        </w:rPr>
        <w:t>14 - 18</w:t>
      </w:r>
      <w:r w:rsidR="00E63AA8" w:rsidRPr="00CA2A40">
        <w:rPr>
          <w:szCs w:val="22"/>
        </w:rPr>
        <w:t>, 202</w:t>
      </w:r>
      <w:r w:rsidR="00E63AA8"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43B69B4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FE4602" w:rsidRPr="00FE4602">
        <w:rPr>
          <w:rFonts w:ascii="Arial" w:hAnsi="Arial" w:cs="Arial"/>
          <w:sz w:val="22"/>
          <w:szCs w:val="22"/>
        </w:rPr>
        <w:t>potentially new requirements for SBFD</w:t>
      </w:r>
    </w:p>
    <w:p w14:paraId="4FD55D83" w14:textId="75A4B50A"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E32DDC">
        <w:rPr>
          <w:rFonts w:ascii="Arial" w:hAnsi="Arial" w:cs="Arial"/>
          <w:sz w:val="22"/>
          <w:szCs w:val="22"/>
        </w:rPr>
        <w:t>6</w:t>
      </w:r>
      <w:r w:rsidR="00620221">
        <w:rPr>
          <w:rFonts w:ascii="Arial" w:hAnsi="Arial" w:cs="Arial"/>
          <w:sz w:val="22"/>
          <w:szCs w:val="22"/>
        </w:rPr>
        <w:t>.</w:t>
      </w:r>
      <w:r w:rsidR="00E32DDC">
        <w:rPr>
          <w:rFonts w:ascii="Arial" w:hAnsi="Arial" w:cs="Arial"/>
          <w:sz w:val="22"/>
          <w:szCs w:val="22"/>
        </w:rPr>
        <w:t>20</w:t>
      </w:r>
      <w:r w:rsidR="00620221">
        <w:rPr>
          <w:rFonts w:ascii="Arial" w:hAnsi="Arial" w:cs="Arial"/>
          <w:sz w:val="22"/>
          <w:szCs w:val="22"/>
        </w:rPr>
        <w:t>.</w:t>
      </w:r>
      <w:r w:rsidR="00FE4602">
        <w:rPr>
          <w:rFonts w:ascii="Arial" w:hAnsi="Arial" w:cs="Arial"/>
          <w:sz w:val="22"/>
          <w:szCs w:val="22"/>
        </w:rPr>
        <w:t>2.</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8056337" w:rsidR="00AB1467" w:rsidRDefault="00E11C52" w:rsidP="00AB1467">
      <w:pPr>
        <w:jc w:val="both"/>
      </w:pPr>
      <w:r>
        <w:t>During</w:t>
      </w:r>
      <w:r w:rsidR="00AB1467">
        <w:t xml:space="preserve"> RAN</w:t>
      </w:r>
      <w:r w:rsidR="009676FD">
        <w:t>4</w:t>
      </w:r>
      <w:r w:rsidR="008B6EC4">
        <w:t>#</w:t>
      </w:r>
      <w:r w:rsidR="00F72EAC">
        <w:t>1</w:t>
      </w:r>
      <w:r w:rsidR="009676FD">
        <w:t>1</w:t>
      </w:r>
      <w:r w:rsidR="00C36C43">
        <w:t>2</w:t>
      </w:r>
      <w:r w:rsidR="008B6EC4">
        <w:t xml:space="preserve">, </w:t>
      </w:r>
      <w:r w:rsidR="00E67330">
        <w:t>potentially new requirements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C36C43">
        <w:t xml:space="preserve"> and FFS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2A18E1E" w14:textId="6257BCC9" w:rsidR="00336C2C" w:rsidRPr="000638BA" w:rsidRDefault="00336C2C" w:rsidP="00336C2C">
            <w:pPr>
              <w:pStyle w:val="4"/>
              <w:numPr>
                <w:ilvl w:val="0"/>
                <w:numId w:val="0"/>
              </w:numPr>
              <w:outlineLvl w:val="3"/>
            </w:pPr>
            <w:r w:rsidRPr="000638BA">
              <w:t>Requirement for transient period</w:t>
            </w:r>
            <w:r>
              <w:t xml:space="preserve"> </w:t>
            </w:r>
            <w:r w:rsidRPr="00A92D78">
              <w:t>between SBFD and non-SBFD</w:t>
            </w:r>
          </w:p>
          <w:p w14:paraId="6AD60A3C" w14:textId="77777777" w:rsidR="00336C2C" w:rsidRDefault="00336C2C" w:rsidP="00336C2C">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30538ADF" w14:textId="77777777" w:rsidR="00336C2C" w:rsidRPr="0099483F" w:rsidRDefault="00336C2C" w:rsidP="00336C2C">
            <w:pPr>
              <w:pStyle w:val="aff6"/>
              <w:widowControl/>
              <w:numPr>
                <w:ilvl w:val="1"/>
                <w:numId w:val="12"/>
              </w:numPr>
              <w:spacing w:after="120" w:line="259" w:lineRule="auto"/>
              <w:ind w:left="1656" w:firstLineChars="0"/>
              <w:jc w:val="left"/>
              <w:rPr>
                <w:lang w:val="en-US"/>
              </w:rPr>
            </w:pPr>
            <w:r w:rsidRPr="0099483F">
              <w:rPr>
                <w:rFonts w:eastAsiaTheme="minorEastAsia"/>
                <w:lang w:val="en-US" w:eastAsia="zh-CN"/>
              </w:rPr>
              <w:t xml:space="preserve">RAN4 shall use existing transient period requirement as baseline for the following four cases identified for SBFD: </w:t>
            </w:r>
          </w:p>
          <w:tbl>
            <w:tblPr>
              <w:tblStyle w:val="af8"/>
              <w:tblW w:w="0" w:type="auto"/>
              <w:jc w:val="center"/>
              <w:tblLook w:val="04A0" w:firstRow="1" w:lastRow="0" w:firstColumn="1" w:lastColumn="0" w:noHBand="0" w:noVBand="1"/>
            </w:tblPr>
            <w:tblGrid>
              <w:gridCol w:w="2150"/>
              <w:gridCol w:w="3261"/>
              <w:gridCol w:w="3402"/>
            </w:tblGrid>
            <w:tr w:rsidR="00336C2C" w:rsidRPr="0099483F" w14:paraId="701900EB" w14:textId="77777777" w:rsidTr="00F75D1C">
              <w:trPr>
                <w:jc w:val="center"/>
              </w:trPr>
              <w:tc>
                <w:tcPr>
                  <w:tcW w:w="2150" w:type="dxa"/>
                </w:tcPr>
                <w:p w14:paraId="10035638" w14:textId="77777777" w:rsidR="00336C2C" w:rsidRPr="0099483F" w:rsidRDefault="00336C2C" w:rsidP="00336C2C">
                  <w:pPr>
                    <w:ind w:left="576"/>
                    <w:jc w:val="both"/>
                    <w:rPr>
                      <w:rFonts w:eastAsiaTheme="minorEastAsia"/>
                      <w:b/>
                      <w:bCs/>
                      <w:lang w:val="en-US"/>
                    </w:rPr>
                  </w:pPr>
                </w:p>
              </w:tc>
              <w:tc>
                <w:tcPr>
                  <w:tcW w:w="3261" w:type="dxa"/>
                </w:tcPr>
                <w:p w14:paraId="6B0F6793" w14:textId="77777777" w:rsidR="00336C2C" w:rsidRPr="0099483F" w:rsidRDefault="00336C2C" w:rsidP="00336C2C">
                  <w:pPr>
                    <w:jc w:val="both"/>
                    <w:rPr>
                      <w:rFonts w:eastAsiaTheme="minorEastAsia"/>
                      <w:b/>
                      <w:bCs/>
                      <w:lang w:val="en-US"/>
                    </w:rPr>
                  </w:pPr>
                  <w:r w:rsidRPr="0099483F">
                    <w:rPr>
                      <w:rFonts w:eastAsiaTheme="minorEastAsia"/>
                      <w:b/>
                      <w:bCs/>
                      <w:lang w:val="en-US"/>
                    </w:rPr>
                    <w:t>Frequency regions for Transition</w:t>
                  </w:r>
                </w:p>
              </w:tc>
              <w:tc>
                <w:tcPr>
                  <w:tcW w:w="3402" w:type="dxa"/>
                </w:tcPr>
                <w:p w14:paraId="49056C4F" w14:textId="77777777" w:rsidR="00336C2C" w:rsidRPr="0099483F" w:rsidRDefault="00336C2C" w:rsidP="00336C2C">
                  <w:pPr>
                    <w:jc w:val="both"/>
                    <w:rPr>
                      <w:rFonts w:eastAsiaTheme="minorEastAsia"/>
                      <w:b/>
                      <w:bCs/>
                      <w:lang w:val="en-US"/>
                    </w:rPr>
                  </w:pPr>
                  <w:r w:rsidRPr="0099483F">
                    <w:rPr>
                      <w:rFonts w:eastAsiaTheme="minorEastAsia"/>
                      <w:b/>
                      <w:bCs/>
                      <w:lang w:val="en-US"/>
                    </w:rPr>
                    <w:t>BS transmitter behavior during transition</w:t>
                  </w:r>
                </w:p>
              </w:tc>
            </w:tr>
            <w:tr w:rsidR="00336C2C" w:rsidRPr="0099483F" w14:paraId="598A9982" w14:textId="77777777" w:rsidTr="00F75D1C">
              <w:trPr>
                <w:jc w:val="center"/>
              </w:trPr>
              <w:tc>
                <w:tcPr>
                  <w:tcW w:w="2150" w:type="dxa"/>
                </w:tcPr>
                <w:p w14:paraId="0A4518A2" w14:textId="77777777" w:rsidR="00336C2C" w:rsidRPr="0099483F" w:rsidRDefault="00336C2C" w:rsidP="00F75D1C">
                  <w:pPr>
                    <w:jc w:val="center"/>
                    <w:rPr>
                      <w:rFonts w:eastAsiaTheme="minorEastAsia"/>
                      <w:lang w:val="en-US"/>
                    </w:rPr>
                  </w:pPr>
                  <w:r w:rsidRPr="0099483F">
                    <w:rPr>
                      <w:lang w:val="en-AU"/>
                    </w:rPr>
                    <w:t>Case-A (SBFD to DL)</w:t>
                  </w:r>
                </w:p>
              </w:tc>
              <w:tc>
                <w:tcPr>
                  <w:tcW w:w="3261" w:type="dxa"/>
                </w:tcPr>
                <w:p w14:paraId="17CEA9A3" w14:textId="77777777" w:rsidR="00336C2C" w:rsidRPr="0099483F" w:rsidRDefault="00336C2C" w:rsidP="00F75D1C">
                  <w:pPr>
                    <w:jc w:val="center"/>
                    <w:rPr>
                      <w:rFonts w:eastAsiaTheme="minorEastAsia"/>
                      <w:lang w:val="en-US"/>
                    </w:rPr>
                  </w:pPr>
                  <w:r w:rsidRPr="0099483F">
                    <w:rPr>
                      <w:lang w:val="en-AU"/>
                    </w:rPr>
                    <w:t xml:space="preserve">SBFD UL </w:t>
                  </w:r>
                  <w:proofErr w:type="spellStart"/>
                  <w:r w:rsidRPr="0099483F">
                    <w:rPr>
                      <w:lang w:val="en-AU"/>
                    </w:rPr>
                    <w:t>subband</w:t>
                  </w:r>
                  <w:proofErr w:type="spellEnd"/>
                  <w:r w:rsidRPr="0099483F">
                    <w:rPr>
                      <w:lang w:val="en-AU"/>
                    </w:rPr>
                    <w:t xml:space="preserve"> and </w:t>
                  </w:r>
                  <w:proofErr w:type="spellStart"/>
                  <w:r w:rsidRPr="0099483F">
                    <w:rPr>
                      <w:lang w:val="en-AU"/>
                    </w:rPr>
                    <w:t>guardband</w:t>
                  </w:r>
                  <w:proofErr w:type="spellEnd"/>
                  <w:r w:rsidRPr="0099483F">
                    <w:rPr>
                      <w:lang w:val="en-AU"/>
                    </w:rPr>
                    <w:t>(s)</w:t>
                  </w:r>
                </w:p>
              </w:tc>
              <w:tc>
                <w:tcPr>
                  <w:tcW w:w="3402" w:type="dxa"/>
                </w:tcPr>
                <w:p w14:paraId="6E4EA130" w14:textId="77777777" w:rsidR="00336C2C" w:rsidRPr="0099483F" w:rsidRDefault="00336C2C" w:rsidP="00F75D1C">
                  <w:pPr>
                    <w:jc w:val="center"/>
                    <w:rPr>
                      <w:rFonts w:eastAsiaTheme="minorEastAsia"/>
                      <w:lang w:val="en-US"/>
                    </w:rPr>
                  </w:pPr>
                  <w:r w:rsidRPr="0099483F">
                    <w:rPr>
                      <w:lang w:val="en-AU"/>
                    </w:rPr>
                    <w:t>BS transmitter OFF-to-ON</w:t>
                  </w:r>
                </w:p>
              </w:tc>
            </w:tr>
            <w:tr w:rsidR="00336C2C" w:rsidRPr="0099483F" w14:paraId="436FF0BC" w14:textId="77777777" w:rsidTr="00F75D1C">
              <w:trPr>
                <w:jc w:val="center"/>
              </w:trPr>
              <w:tc>
                <w:tcPr>
                  <w:tcW w:w="2150" w:type="dxa"/>
                </w:tcPr>
                <w:p w14:paraId="352FFFCC" w14:textId="77777777" w:rsidR="00336C2C" w:rsidRPr="0099483F" w:rsidRDefault="00336C2C" w:rsidP="00F75D1C">
                  <w:pPr>
                    <w:jc w:val="center"/>
                    <w:rPr>
                      <w:rFonts w:eastAsiaTheme="minorEastAsia"/>
                      <w:lang w:val="en-US"/>
                    </w:rPr>
                  </w:pPr>
                  <w:r w:rsidRPr="0099483F">
                    <w:rPr>
                      <w:lang w:val="en-AU"/>
                    </w:rPr>
                    <w:t>Case-B (SBFD to UL)</w:t>
                  </w:r>
                </w:p>
              </w:tc>
              <w:tc>
                <w:tcPr>
                  <w:tcW w:w="3261" w:type="dxa"/>
                </w:tcPr>
                <w:p w14:paraId="0D74FA59" w14:textId="77777777" w:rsidR="00336C2C" w:rsidRPr="0099483F" w:rsidRDefault="00336C2C" w:rsidP="00F75D1C">
                  <w:pPr>
                    <w:jc w:val="center"/>
                    <w:rPr>
                      <w:rFonts w:eastAsiaTheme="minorEastAsia"/>
                      <w:lang w:val="en-US"/>
                    </w:rPr>
                  </w:pPr>
                  <w:r w:rsidRPr="0099483F">
                    <w:rPr>
                      <w:lang w:val="en-AU"/>
                    </w:rPr>
                    <w:t xml:space="preserve">SBFD DL </w:t>
                  </w:r>
                  <w:proofErr w:type="spellStart"/>
                  <w:r w:rsidRPr="0099483F">
                    <w:rPr>
                      <w:lang w:val="en-AU"/>
                    </w:rPr>
                    <w:t>subband</w:t>
                  </w:r>
                  <w:proofErr w:type="spellEnd"/>
                </w:p>
              </w:tc>
              <w:tc>
                <w:tcPr>
                  <w:tcW w:w="3402" w:type="dxa"/>
                </w:tcPr>
                <w:p w14:paraId="5BB4D583" w14:textId="77777777" w:rsidR="00336C2C" w:rsidRPr="0099483F" w:rsidRDefault="00336C2C" w:rsidP="00F75D1C">
                  <w:pPr>
                    <w:jc w:val="center"/>
                    <w:rPr>
                      <w:rFonts w:eastAsiaTheme="minorEastAsia"/>
                      <w:lang w:val="en-US"/>
                    </w:rPr>
                  </w:pPr>
                  <w:r w:rsidRPr="0099483F">
                    <w:rPr>
                      <w:lang w:val="en-AU"/>
                    </w:rPr>
                    <w:t>BS transmitter ON-to-OFF</w:t>
                  </w:r>
                </w:p>
              </w:tc>
            </w:tr>
            <w:tr w:rsidR="00336C2C" w:rsidRPr="0099483F" w14:paraId="495B8380" w14:textId="77777777" w:rsidTr="00F75D1C">
              <w:trPr>
                <w:jc w:val="center"/>
              </w:trPr>
              <w:tc>
                <w:tcPr>
                  <w:tcW w:w="2150" w:type="dxa"/>
                </w:tcPr>
                <w:p w14:paraId="38733696" w14:textId="77777777" w:rsidR="00336C2C" w:rsidRPr="0099483F" w:rsidRDefault="00336C2C" w:rsidP="00F75D1C">
                  <w:pPr>
                    <w:jc w:val="center"/>
                    <w:rPr>
                      <w:rFonts w:eastAsiaTheme="minorEastAsia"/>
                      <w:lang w:val="en-US"/>
                    </w:rPr>
                  </w:pPr>
                  <w:r w:rsidRPr="0099483F">
                    <w:rPr>
                      <w:lang w:val="en-AU"/>
                    </w:rPr>
                    <w:t>Case-C (DL to SBFD)</w:t>
                  </w:r>
                </w:p>
              </w:tc>
              <w:tc>
                <w:tcPr>
                  <w:tcW w:w="3261" w:type="dxa"/>
                </w:tcPr>
                <w:p w14:paraId="3701ED9D" w14:textId="77777777" w:rsidR="00336C2C" w:rsidRPr="0099483F" w:rsidRDefault="00336C2C" w:rsidP="00F75D1C">
                  <w:pPr>
                    <w:jc w:val="center"/>
                    <w:rPr>
                      <w:rFonts w:eastAsiaTheme="minorEastAsia"/>
                      <w:lang w:val="en-US"/>
                    </w:rPr>
                  </w:pPr>
                  <w:r w:rsidRPr="0099483F">
                    <w:rPr>
                      <w:lang w:val="en-AU"/>
                    </w:rPr>
                    <w:t xml:space="preserve">SBFD UL </w:t>
                  </w:r>
                  <w:proofErr w:type="spellStart"/>
                  <w:r w:rsidRPr="0099483F">
                    <w:rPr>
                      <w:lang w:val="en-AU"/>
                    </w:rPr>
                    <w:t>subband</w:t>
                  </w:r>
                  <w:proofErr w:type="spellEnd"/>
                  <w:r w:rsidRPr="0099483F">
                    <w:rPr>
                      <w:lang w:val="en-AU"/>
                    </w:rPr>
                    <w:t xml:space="preserve"> and </w:t>
                  </w:r>
                  <w:proofErr w:type="spellStart"/>
                  <w:r w:rsidRPr="0099483F">
                    <w:rPr>
                      <w:lang w:val="en-AU"/>
                    </w:rPr>
                    <w:t>guardband</w:t>
                  </w:r>
                  <w:proofErr w:type="spellEnd"/>
                  <w:r w:rsidRPr="0099483F">
                    <w:rPr>
                      <w:lang w:val="en-AU"/>
                    </w:rPr>
                    <w:t>(s)</w:t>
                  </w:r>
                </w:p>
              </w:tc>
              <w:tc>
                <w:tcPr>
                  <w:tcW w:w="3402" w:type="dxa"/>
                </w:tcPr>
                <w:p w14:paraId="600560B2" w14:textId="77777777" w:rsidR="00336C2C" w:rsidRPr="0099483F" w:rsidRDefault="00336C2C" w:rsidP="00F75D1C">
                  <w:pPr>
                    <w:jc w:val="center"/>
                    <w:rPr>
                      <w:rFonts w:eastAsiaTheme="minorEastAsia"/>
                      <w:lang w:val="en-US"/>
                    </w:rPr>
                  </w:pPr>
                  <w:r w:rsidRPr="0099483F">
                    <w:rPr>
                      <w:lang w:val="en-AU"/>
                    </w:rPr>
                    <w:t>BS transmitter ON-to-OFF</w:t>
                  </w:r>
                </w:p>
              </w:tc>
            </w:tr>
            <w:tr w:rsidR="00336C2C" w:rsidRPr="0099483F" w14:paraId="77F678D0" w14:textId="77777777" w:rsidTr="00F75D1C">
              <w:trPr>
                <w:jc w:val="center"/>
              </w:trPr>
              <w:tc>
                <w:tcPr>
                  <w:tcW w:w="2150" w:type="dxa"/>
                </w:tcPr>
                <w:p w14:paraId="56D0A27C" w14:textId="77777777" w:rsidR="00336C2C" w:rsidRPr="0099483F" w:rsidRDefault="00336C2C" w:rsidP="00F75D1C">
                  <w:pPr>
                    <w:jc w:val="center"/>
                    <w:rPr>
                      <w:rFonts w:eastAsiaTheme="minorEastAsia"/>
                      <w:lang w:val="en-US"/>
                    </w:rPr>
                  </w:pPr>
                  <w:r w:rsidRPr="0099483F">
                    <w:rPr>
                      <w:lang w:val="en-AU"/>
                    </w:rPr>
                    <w:t>Case-D (UL to SBFD)</w:t>
                  </w:r>
                </w:p>
              </w:tc>
              <w:tc>
                <w:tcPr>
                  <w:tcW w:w="3261" w:type="dxa"/>
                </w:tcPr>
                <w:p w14:paraId="1CF658D9" w14:textId="77777777" w:rsidR="00336C2C" w:rsidRPr="0099483F" w:rsidRDefault="00336C2C" w:rsidP="00F75D1C">
                  <w:pPr>
                    <w:jc w:val="center"/>
                    <w:rPr>
                      <w:rFonts w:eastAsiaTheme="minorEastAsia"/>
                      <w:lang w:val="en-US"/>
                    </w:rPr>
                  </w:pPr>
                  <w:r w:rsidRPr="0099483F">
                    <w:rPr>
                      <w:lang w:val="en-AU"/>
                    </w:rPr>
                    <w:t xml:space="preserve">SBFD DL </w:t>
                  </w:r>
                  <w:proofErr w:type="spellStart"/>
                  <w:r w:rsidRPr="0099483F">
                    <w:rPr>
                      <w:lang w:val="en-AU"/>
                    </w:rPr>
                    <w:t>subband</w:t>
                  </w:r>
                  <w:proofErr w:type="spellEnd"/>
                </w:p>
              </w:tc>
              <w:tc>
                <w:tcPr>
                  <w:tcW w:w="3402" w:type="dxa"/>
                </w:tcPr>
                <w:p w14:paraId="31BB4297" w14:textId="77777777" w:rsidR="00336C2C" w:rsidRPr="0099483F" w:rsidRDefault="00336C2C" w:rsidP="00F75D1C">
                  <w:pPr>
                    <w:jc w:val="center"/>
                    <w:rPr>
                      <w:rFonts w:eastAsiaTheme="minorEastAsia"/>
                      <w:lang w:val="en-US"/>
                    </w:rPr>
                  </w:pPr>
                  <w:r w:rsidRPr="0099483F">
                    <w:rPr>
                      <w:lang w:val="en-AU"/>
                    </w:rPr>
                    <w:t>BS transmitter OFF-to-ON</w:t>
                  </w:r>
                </w:p>
              </w:tc>
            </w:tr>
          </w:tbl>
          <w:p w14:paraId="4585BB39" w14:textId="77777777" w:rsidR="00336C2C" w:rsidRPr="00336C2C" w:rsidRDefault="00336C2C" w:rsidP="00336C2C">
            <w:pPr>
              <w:spacing w:after="120" w:line="259" w:lineRule="auto"/>
              <w:rPr>
                <w:szCs w:val="24"/>
              </w:rPr>
            </w:pPr>
          </w:p>
          <w:p w14:paraId="366C56B2" w14:textId="5AF2593D" w:rsidR="00336C2C" w:rsidRPr="000638BA" w:rsidRDefault="00336C2C" w:rsidP="00336C2C">
            <w:pPr>
              <w:pStyle w:val="4"/>
              <w:numPr>
                <w:ilvl w:val="0"/>
                <w:numId w:val="0"/>
              </w:numPr>
              <w:outlineLvl w:val="3"/>
            </w:pPr>
            <w:r w:rsidRPr="00DA42B9">
              <w:rPr>
                <w:lang w:val="en-AU"/>
              </w:rPr>
              <w:t>Transient period length between SBFD and non-SBFD</w:t>
            </w:r>
          </w:p>
          <w:p w14:paraId="7546AE19" w14:textId="77777777" w:rsidR="00336C2C" w:rsidRDefault="00336C2C" w:rsidP="00336C2C">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3391E134" w14:textId="77777777" w:rsidR="00336C2C" w:rsidRDefault="00336C2C" w:rsidP="00336C2C">
            <w:pPr>
              <w:pStyle w:val="aff6"/>
              <w:widowControl/>
              <w:numPr>
                <w:ilvl w:val="1"/>
                <w:numId w:val="12"/>
              </w:numPr>
              <w:spacing w:after="120" w:line="259" w:lineRule="auto"/>
              <w:ind w:left="1656" w:firstLineChars="0"/>
              <w:jc w:val="left"/>
              <w:rPr>
                <w:lang w:val="en-US"/>
              </w:rPr>
            </w:pPr>
            <w:r w:rsidRPr="00DA42B9">
              <w:rPr>
                <w:lang w:val="en-US"/>
              </w:rPr>
              <w:t xml:space="preserve">Transient period length between SBFD and non-SBFD: </w:t>
            </w:r>
          </w:p>
          <w:p w14:paraId="7E7965EC" w14:textId="77777777" w:rsidR="00336C2C" w:rsidRDefault="00336C2C" w:rsidP="00336C2C">
            <w:pPr>
              <w:pStyle w:val="aff6"/>
              <w:widowControl/>
              <w:numPr>
                <w:ilvl w:val="2"/>
                <w:numId w:val="12"/>
              </w:numPr>
              <w:tabs>
                <w:tab w:val="left" w:pos="992"/>
              </w:tabs>
              <w:spacing w:after="120" w:line="259" w:lineRule="auto"/>
              <w:ind w:left="2376" w:firstLineChars="0"/>
              <w:jc w:val="left"/>
              <w:rPr>
                <w:lang w:val="en-US"/>
              </w:rPr>
            </w:pPr>
            <w:r w:rsidRPr="0099483F">
              <w:rPr>
                <w:lang w:val="en-US"/>
              </w:rPr>
              <w:t>The existing TDD BS transmitter transient period reused, i.e., 10</w:t>
            </w:r>
            <w:r w:rsidRPr="0099483F">
              <w:rPr>
                <w:rFonts w:hint="eastAsia"/>
                <w:lang w:val="en-US"/>
              </w:rPr>
              <w:t>us</w:t>
            </w:r>
            <w:r w:rsidRPr="0099483F">
              <w:rPr>
                <w:lang w:val="en-US"/>
              </w:rPr>
              <w:t xml:space="preserve"> for FR1 and 3</w:t>
            </w:r>
            <w:r w:rsidRPr="0099483F">
              <w:rPr>
                <w:rFonts w:hint="eastAsia"/>
                <w:lang w:val="en-US"/>
              </w:rPr>
              <w:t>us</w:t>
            </w:r>
            <w:r w:rsidRPr="0099483F">
              <w:rPr>
                <w:lang w:val="en-US"/>
              </w:rPr>
              <w:t xml:space="preserve"> for </w:t>
            </w:r>
            <w:r>
              <w:rPr>
                <w:lang w:val="en-US"/>
              </w:rPr>
              <w:t>FR2-1.</w:t>
            </w:r>
          </w:p>
          <w:p w14:paraId="12480D5E" w14:textId="77777777" w:rsidR="00336C2C" w:rsidRPr="00336C2C" w:rsidRDefault="00336C2C" w:rsidP="00336C2C">
            <w:pPr>
              <w:tabs>
                <w:tab w:val="left" w:pos="992"/>
              </w:tabs>
              <w:spacing w:after="120" w:line="259" w:lineRule="auto"/>
              <w:rPr>
                <w:lang w:val="en-US"/>
              </w:rPr>
            </w:pPr>
          </w:p>
          <w:p w14:paraId="713581B9" w14:textId="1E565A6B" w:rsidR="00336C2C" w:rsidRPr="000638BA" w:rsidRDefault="00336C2C" w:rsidP="00336C2C">
            <w:pPr>
              <w:pStyle w:val="4"/>
              <w:numPr>
                <w:ilvl w:val="0"/>
                <w:numId w:val="0"/>
              </w:numPr>
              <w:outlineLvl w:val="3"/>
            </w:pPr>
            <w:r>
              <w:t>L</w:t>
            </w:r>
            <w:r w:rsidRPr="00A45A70">
              <w:t>ocation of transient period between SBFD and non-SBFD</w:t>
            </w:r>
          </w:p>
          <w:p w14:paraId="2CBE875A" w14:textId="77777777" w:rsidR="00336C2C" w:rsidRDefault="00336C2C" w:rsidP="00336C2C">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t xml:space="preserve">Agreement: </w:t>
            </w:r>
          </w:p>
          <w:p w14:paraId="245B45F6" w14:textId="77777777" w:rsidR="00336C2C" w:rsidRPr="0099483F" w:rsidRDefault="00336C2C" w:rsidP="00336C2C">
            <w:pPr>
              <w:pStyle w:val="aff6"/>
              <w:widowControl/>
              <w:numPr>
                <w:ilvl w:val="1"/>
                <w:numId w:val="12"/>
              </w:numPr>
              <w:spacing w:after="120" w:line="259" w:lineRule="auto"/>
              <w:ind w:left="1656" w:firstLineChars="0"/>
              <w:jc w:val="left"/>
              <w:rPr>
                <w:lang w:val="en-US"/>
              </w:rPr>
            </w:pPr>
            <w:r w:rsidRPr="0099483F">
              <w:rPr>
                <w:lang w:val="en-US"/>
              </w:rPr>
              <w:t xml:space="preserve">Location of transient period between SBFD and non-SBFD in RAN4 RF requirement: </w:t>
            </w:r>
          </w:p>
          <w:p w14:paraId="5C97C608" w14:textId="77777777" w:rsidR="00336C2C" w:rsidRPr="0099483F" w:rsidRDefault="00336C2C" w:rsidP="00336C2C">
            <w:pPr>
              <w:pStyle w:val="aff6"/>
              <w:widowControl/>
              <w:numPr>
                <w:ilvl w:val="2"/>
                <w:numId w:val="12"/>
              </w:numPr>
              <w:spacing w:after="120" w:line="259" w:lineRule="auto"/>
              <w:ind w:left="2376" w:firstLineChars="0"/>
              <w:jc w:val="left"/>
              <w:rPr>
                <w:lang w:val="en-US"/>
              </w:rPr>
            </w:pPr>
            <w:r w:rsidRPr="0099483F">
              <w:rPr>
                <w:lang w:val="en-AU"/>
              </w:rPr>
              <w:t xml:space="preserve">FFS the </w:t>
            </w:r>
            <w:r w:rsidRPr="0099483F">
              <w:rPr>
                <w:lang w:val="en-US"/>
              </w:rPr>
              <w:t>location of transient period between SBFD and non-SBFD shall be located within the SBFD slot/symbol if it needs to be decided.</w:t>
            </w:r>
          </w:p>
          <w:p w14:paraId="45950EAD" w14:textId="77777777" w:rsidR="00336C2C" w:rsidRPr="00336C2C" w:rsidRDefault="00336C2C" w:rsidP="00336C2C">
            <w:pPr>
              <w:spacing w:after="120" w:line="259" w:lineRule="auto"/>
              <w:rPr>
                <w:szCs w:val="24"/>
                <w:lang w:val="en-US"/>
              </w:rPr>
            </w:pPr>
          </w:p>
          <w:p w14:paraId="0260E0A9" w14:textId="71D78BDE" w:rsidR="00336C2C" w:rsidRPr="000638BA" w:rsidRDefault="00336C2C" w:rsidP="00336C2C">
            <w:pPr>
              <w:pStyle w:val="4"/>
              <w:numPr>
                <w:ilvl w:val="0"/>
                <w:numId w:val="0"/>
              </w:numPr>
              <w:outlineLvl w:val="3"/>
            </w:pPr>
            <w:r w:rsidRPr="000638BA">
              <w:t>Requirement for transient period</w:t>
            </w:r>
            <w:r>
              <w:t xml:space="preserve"> </w:t>
            </w:r>
            <w:r w:rsidRPr="00A92D78">
              <w:t xml:space="preserve">between </w:t>
            </w:r>
            <w:r>
              <w:t>different SBFD configurations</w:t>
            </w:r>
          </w:p>
          <w:p w14:paraId="599776C1" w14:textId="77777777" w:rsidR="00336C2C" w:rsidRDefault="00336C2C" w:rsidP="00336C2C">
            <w:pPr>
              <w:pStyle w:val="aff6"/>
              <w:widowControl/>
              <w:numPr>
                <w:ilvl w:val="0"/>
                <w:numId w:val="12"/>
              </w:numPr>
              <w:spacing w:after="120" w:line="259" w:lineRule="auto"/>
              <w:ind w:left="936" w:firstLineChars="0"/>
              <w:jc w:val="left"/>
              <w:rPr>
                <w:highlight w:val="green"/>
                <w:lang w:val="en-US"/>
              </w:rPr>
            </w:pPr>
            <w:r w:rsidRPr="00204D83">
              <w:rPr>
                <w:highlight w:val="green"/>
                <w:lang w:val="en-US"/>
              </w:rPr>
              <w:lastRenderedPageBreak/>
              <w:t xml:space="preserve">Agreement: </w:t>
            </w:r>
          </w:p>
          <w:p w14:paraId="22B3AF45" w14:textId="77777777" w:rsidR="00336C2C" w:rsidRDefault="00336C2C" w:rsidP="00336C2C">
            <w:pPr>
              <w:pStyle w:val="aff6"/>
              <w:widowControl/>
              <w:numPr>
                <w:ilvl w:val="1"/>
                <w:numId w:val="12"/>
              </w:numPr>
              <w:spacing w:after="120" w:line="259" w:lineRule="auto"/>
              <w:ind w:left="1656" w:firstLineChars="0"/>
              <w:jc w:val="left"/>
              <w:rPr>
                <w:lang w:val="en-AU"/>
              </w:rPr>
            </w:pPr>
            <w:r>
              <w:rPr>
                <w:lang w:val="en-AU"/>
              </w:rPr>
              <w:t>N</w:t>
            </w:r>
            <w:r w:rsidRPr="00A9520A">
              <w:rPr>
                <w:lang w:val="en-AU"/>
              </w:rPr>
              <w:t>o need to specify transmitter transient period requirement between different SBFD configurations.</w:t>
            </w:r>
          </w:p>
          <w:p w14:paraId="0FF0ECDC" w14:textId="77777777" w:rsidR="00336C2C" w:rsidRPr="000638BA" w:rsidRDefault="00336C2C" w:rsidP="00336C2C">
            <w:pPr>
              <w:pStyle w:val="4"/>
              <w:numPr>
                <w:ilvl w:val="0"/>
                <w:numId w:val="0"/>
              </w:numPr>
              <w:outlineLvl w:val="3"/>
            </w:pPr>
            <w:r w:rsidRPr="000638BA">
              <w:t xml:space="preserve">Necessity of </w:t>
            </w:r>
            <w:r>
              <w:t>i</w:t>
            </w:r>
            <w:r w:rsidRPr="000638BA">
              <w:t xml:space="preserve">n-channel adjacent </w:t>
            </w:r>
            <w:proofErr w:type="spellStart"/>
            <w:r w:rsidRPr="000638BA">
              <w:t>subband</w:t>
            </w:r>
            <w:proofErr w:type="spellEnd"/>
            <w:r w:rsidRPr="000638BA">
              <w:t xml:space="preserve"> leakage ratio requirements </w:t>
            </w:r>
          </w:p>
          <w:p w14:paraId="28BB7D6E" w14:textId="77777777" w:rsidR="00336C2C" w:rsidRDefault="00336C2C" w:rsidP="00336C2C">
            <w:pPr>
              <w:pStyle w:val="aff6"/>
              <w:widowControl/>
              <w:numPr>
                <w:ilvl w:val="0"/>
                <w:numId w:val="12"/>
              </w:numPr>
              <w:spacing w:after="120" w:line="259" w:lineRule="auto"/>
              <w:ind w:left="720" w:firstLineChars="0"/>
              <w:jc w:val="left"/>
              <w:rPr>
                <w:szCs w:val="24"/>
                <w:lang w:eastAsia="zh-CN"/>
              </w:rPr>
            </w:pPr>
            <w:r>
              <w:rPr>
                <w:szCs w:val="24"/>
                <w:lang w:eastAsia="zh-CN"/>
              </w:rPr>
              <w:t xml:space="preserve">Way forward: </w:t>
            </w:r>
          </w:p>
          <w:p w14:paraId="3BC79FB5" w14:textId="77777777" w:rsidR="00336C2C" w:rsidRPr="0099483F" w:rsidRDefault="00336C2C" w:rsidP="00336C2C">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Cs w:val="24"/>
                <w:lang w:eastAsia="zh-CN"/>
              </w:rPr>
            </w:pPr>
            <w:r w:rsidRPr="0099483F">
              <w:rPr>
                <w:szCs w:val="24"/>
                <w:lang w:eastAsia="zh-CN"/>
              </w:rPr>
              <w:t xml:space="preserve">FFS the necessity of in-channel adjacent </w:t>
            </w:r>
            <w:proofErr w:type="spellStart"/>
            <w:r w:rsidRPr="0099483F">
              <w:rPr>
                <w:szCs w:val="24"/>
                <w:lang w:eastAsia="zh-CN"/>
              </w:rPr>
              <w:t>subband</w:t>
            </w:r>
            <w:proofErr w:type="spellEnd"/>
            <w:r w:rsidRPr="0099483F">
              <w:rPr>
                <w:szCs w:val="24"/>
                <w:lang w:eastAsia="zh-CN"/>
              </w:rPr>
              <w:t xml:space="preserve"> leakage ratio requirements</w:t>
            </w:r>
          </w:p>
          <w:p w14:paraId="7446A5D0" w14:textId="77777777" w:rsidR="00336C2C" w:rsidRPr="0099483F" w:rsidRDefault="00336C2C" w:rsidP="00336C2C">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Cs w:val="24"/>
                <w:lang w:eastAsia="zh-CN"/>
              </w:rPr>
            </w:pPr>
            <w:r w:rsidRPr="0099483F">
              <w:rPr>
                <w:szCs w:val="24"/>
                <w:lang w:eastAsia="zh-CN"/>
              </w:rPr>
              <w:t xml:space="preserve">Option 1: No necessity to introduce new requirement for in-channel adjacent </w:t>
            </w:r>
            <w:proofErr w:type="spellStart"/>
            <w:r w:rsidRPr="0099483F">
              <w:rPr>
                <w:szCs w:val="24"/>
                <w:lang w:eastAsia="zh-CN"/>
              </w:rPr>
              <w:t>subband</w:t>
            </w:r>
            <w:proofErr w:type="spellEnd"/>
            <w:r w:rsidRPr="0099483F">
              <w:rPr>
                <w:szCs w:val="24"/>
                <w:lang w:eastAsia="zh-CN"/>
              </w:rPr>
              <w:t xml:space="preserve"> leakage ratio. </w:t>
            </w:r>
          </w:p>
          <w:p w14:paraId="55540C34" w14:textId="77777777" w:rsidR="00336C2C" w:rsidRPr="0099483F" w:rsidRDefault="00336C2C" w:rsidP="00336C2C">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Cs w:val="24"/>
                <w:lang w:eastAsia="zh-CN"/>
              </w:rPr>
            </w:pPr>
            <w:r w:rsidRPr="0099483F">
              <w:rPr>
                <w:szCs w:val="24"/>
                <w:lang w:eastAsia="zh-CN"/>
              </w:rPr>
              <w:t xml:space="preserve">Option 2: New requirement for in-channel adjacent </w:t>
            </w:r>
            <w:proofErr w:type="spellStart"/>
            <w:r w:rsidRPr="0099483F">
              <w:rPr>
                <w:szCs w:val="24"/>
                <w:lang w:eastAsia="zh-CN"/>
              </w:rPr>
              <w:t>subband</w:t>
            </w:r>
            <w:proofErr w:type="spellEnd"/>
            <w:r w:rsidRPr="0099483F">
              <w:rPr>
                <w:szCs w:val="24"/>
                <w:lang w:eastAsia="zh-CN"/>
              </w:rPr>
              <w:t xml:space="preserve"> leakage ratio should be defined. </w:t>
            </w:r>
          </w:p>
          <w:p w14:paraId="1465199C" w14:textId="77777777" w:rsidR="00336C2C" w:rsidRPr="0099483F" w:rsidRDefault="00336C2C" w:rsidP="00336C2C">
            <w:pPr>
              <w:pStyle w:val="aff6"/>
              <w:widowControl/>
              <w:numPr>
                <w:ilvl w:val="3"/>
                <w:numId w:val="12"/>
              </w:numPr>
              <w:overflowPunct w:val="0"/>
              <w:autoSpaceDE w:val="0"/>
              <w:autoSpaceDN w:val="0"/>
              <w:adjustRightInd w:val="0"/>
              <w:spacing w:after="180"/>
              <w:ind w:left="3096" w:firstLineChars="0"/>
              <w:jc w:val="left"/>
              <w:textAlignment w:val="baseline"/>
              <w:rPr>
                <w:szCs w:val="24"/>
                <w:lang w:eastAsia="zh-CN"/>
              </w:rPr>
            </w:pPr>
            <w:r w:rsidRPr="0099483F">
              <w:rPr>
                <w:szCs w:val="24"/>
                <w:lang w:eastAsia="zh-CN"/>
              </w:rPr>
              <w:t>Define a requirement on TX sub-band ACLR similar to the ACLR requirement and use existing ACLR requirement as baseline.</w:t>
            </w:r>
          </w:p>
          <w:p w14:paraId="05942CAC" w14:textId="77777777" w:rsidR="00336C2C" w:rsidRDefault="00336C2C" w:rsidP="00336C2C">
            <w:pPr>
              <w:spacing w:after="120" w:line="259" w:lineRule="auto"/>
              <w:rPr>
                <w:lang w:val="en-US"/>
              </w:rPr>
            </w:pPr>
          </w:p>
          <w:p w14:paraId="20828267" w14:textId="7429DF95" w:rsidR="00336C2C" w:rsidRPr="000638BA" w:rsidRDefault="00336C2C" w:rsidP="00336C2C">
            <w:pPr>
              <w:pStyle w:val="4"/>
              <w:numPr>
                <w:ilvl w:val="0"/>
                <w:numId w:val="0"/>
              </w:numPr>
              <w:outlineLvl w:val="3"/>
            </w:pPr>
            <w:r w:rsidRPr="000638BA">
              <w:t xml:space="preserve">Necessity of </w:t>
            </w:r>
            <w:r>
              <w:t>i</w:t>
            </w:r>
            <w:r w:rsidRPr="000638BA">
              <w:t xml:space="preserve">n-channel adjacent </w:t>
            </w:r>
            <w:proofErr w:type="spellStart"/>
            <w:r w:rsidRPr="000638BA">
              <w:t>subband</w:t>
            </w:r>
            <w:proofErr w:type="spellEnd"/>
            <w:r w:rsidRPr="000638BA">
              <w:t xml:space="preserve"> </w:t>
            </w:r>
            <w:r>
              <w:t>selectivity</w:t>
            </w:r>
            <w:r w:rsidRPr="000638BA">
              <w:t xml:space="preserve"> requirements </w:t>
            </w:r>
          </w:p>
          <w:p w14:paraId="49D15A92" w14:textId="77777777" w:rsidR="00336C2C" w:rsidRDefault="00336C2C" w:rsidP="00336C2C">
            <w:pPr>
              <w:pStyle w:val="aff6"/>
              <w:widowControl/>
              <w:numPr>
                <w:ilvl w:val="0"/>
                <w:numId w:val="12"/>
              </w:numPr>
              <w:spacing w:after="120" w:line="259" w:lineRule="auto"/>
              <w:ind w:left="720" w:firstLineChars="0"/>
              <w:jc w:val="left"/>
              <w:rPr>
                <w:szCs w:val="24"/>
                <w:lang w:eastAsia="zh-CN"/>
              </w:rPr>
            </w:pPr>
            <w:r>
              <w:rPr>
                <w:szCs w:val="24"/>
                <w:lang w:eastAsia="zh-CN"/>
              </w:rPr>
              <w:t xml:space="preserve">Way forward: </w:t>
            </w:r>
          </w:p>
          <w:p w14:paraId="7F8C72DE" w14:textId="77777777" w:rsidR="00336C2C" w:rsidRPr="0099483F" w:rsidRDefault="00336C2C" w:rsidP="00336C2C">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Cs w:val="24"/>
                <w:lang w:eastAsia="zh-CN"/>
              </w:rPr>
            </w:pPr>
            <w:r w:rsidRPr="0099483F">
              <w:rPr>
                <w:szCs w:val="24"/>
                <w:lang w:eastAsia="zh-CN"/>
              </w:rPr>
              <w:t xml:space="preserve">FFS the necessity of in-channel adjacent </w:t>
            </w:r>
            <w:proofErr w:type="spellStart"/>
            <w:r w:rsidRPr="0099483F">
              <w:rPr>
                <w:szCs w:val="24"/>
                <w:lang w:eastAsia="zh-CN"/>
              </w:rPr>
              <w:t>subband</w:t>
            </w:r>
            <w:proofErr w:type="spellEnd"/>
            <w:r w:rsidRPr="0099483F">
              <w:rPr>
                <w:szCs w:val="24"/>
                <w:lang w:eastAsia="zh-CN"/>
              </w:rPr>
              <w:t xml:space="preserve"> selectivity requirements</w:t>
            </w:r>
          </w:p>
          <w:p w14:paraId="4A1FBB10" w14:textId="77777777" w:rsidR="00336C2C" w:rsidRPr="0099483F" w:rsidRDefault="00336C2C" w:rsidP="00336C2C">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Cs w:val="24"/>
                <w:lang w:eastAsia="zh-CN"/>
              </w:rPr>
            </w:pPr>
            <w:r w:rsidRPr="0099483F">
              <w:rPr>
                <w:szCs w:val="24"/>
                <w:lang w:eastAsia="zh-CN"/>
              </w:rPr>
              <w:t xml:space="preserve">Option 1: No necessity to introduce new requirement for in-channel adjacent </w:t>
            </w:r>
            <w:proofErr w:type="spellStart"/>
            <w:r w:rsidRPr="0099483F">
              <w:rPr>
                <w:szCs w:val="24"/>
                <w:lang w:eastAsia="zh-CN"/>
              </w:rPr>
              <w:t>subband</w:t>
            </w:r>
            <w:proofErr w:type="spellEnd"/>
            <w:r w:rsidRPr="0099483F">
              <w:rPr>
                <w:szCs w:val="24"/>
                <w:lang w:eastAsia="zh-CN"/>
              </w:rPr>
              <w:t xml:space="preserve"> selectivity. </w:t>
            </w:r>
          </w:p>
          <w:p w14:paraId="3E583DF0" w14:textId="77777777" w:rsidR="00336C2C" w:rsidRPr="0099483F" w:rsidRDefault="00336C2C" w:rsidP="00336C2C">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Cs w:val="24"/>
                <w:lang w:eastAsia="zh-CN"/>
              </w:rPr>
            </w:pPr>
            <w:r w:rsidRPr="0099483F">
              <w:rPr>
                <w:szCs w:val="24"/>
                <w:lang w:eastAsia="zh-CN"/>
              </w:rPr>
              <w:t xml:space="preserve">Option 2: New requirement for in-channel adjacent </w:t>
            </w:r>
            <w:proofErr w:type="spellStart"/>
            <w:r w:rsidRPr="0099483F">
              <w:rPr>
                <w:szCs w:val="24"/>
                <w:lang w:eastAsia="zh-CN"/>
              </w:rPr>
              <w:t>subband</w:t>
            </w:r>
            <w:proofErr w:type="spellEnd"/>
            <w:r w:rsidRPr="0099483F">
              <w:rPr>
                <w:szCs w:val="24"/>
                <w:lang w:eastAsia="zh-CN"/>
              </w:rPr>
              <w:t xml:space="preserve"> selectivity should be defined. </w:t>
            </w:r>
          </w:p>
          <w:p w14:paraId="5A4CF3F5" w14:textId="77777777" w:rsidR="00336C2C" w:rsidRPr="0099483F" w:rsidRDefault="00336C2C" w:rsidP="00336C2C">
            <w:pPr>
              <w:pStyle w:val="aff6"/>
              <w:widowControl/>
              <w:numPr>
                <w:ilvl w:val="3"/>
                <w:numId w:val="12"/>
              </w:numPr>
              <w:overflowPunct w:val="0"/>
              <w:autoSpaceDE w:val="0"/>
              <w:autoSpaceDN w:val="0"/>
              <w:adjustRightInd w:val="0"/>
              <w:spacing w:after="180"/>
              <w:ind w:left="3096" w:firstLineChars="0"/>
              <w:jc w:val="left"/>
              <w:textAlignment w:val="baseline"/>
              <w:rPr>
                <w:szCs w:val="24"/>
                <w:lang w:eastAsia="zh-CN"/>
              </w:rPr>
            </w:pPr>
            <w:r w:rsidRPr="0099483F">
              <w:rPr>
                <w:szCs w:val="24"/>
                <w:lang w:eastAsia="zh-CN"/>
              </w:rPr>
              <w:t>Define a requirement on RX sub-band ACS similar to the ACS requirement and use existing ACS requirement as baseline.</w:t>
            </w:r>
          </w:p>
          <w:p w14:paraId="5537DAB0" w14:textId="77777777" w:rsidR="00336C2C" w:rsidRDefault="00336C2C" w:rsidP="00336C2C">
            <w:pPr>
              <w:pStyle w:val="aff6"/>
              <w:spacing w:after="120" w:line="259" w:lineRule="auto"/>
              <w:ind w:left="1656" w:firstLineChars="0" w:firstLine="0"/>
              <w:rPr>
                <w:lang w:val="en-US"/>
              </w:rPr>
            </w:pPr>
          </w:p>
          <w:p w14:paraId="5ACD863A" w14:textId="05735337" w:rsidR="00336C2C" w:rsidRPr="000638BA" w:rsidRDefault="00336C2C" w:rsidP="00336C2C">
            <w:pPr>
              <w:pStyle w:val="4"/>
              <w:numPr>
                <w:ilvl w:val="0"/>
                <w:numId w:val="0"/>
              </w:numPr>
              <w:outlineLvl w:val="3"/>
            </w:pPr>
            <w:r>
              <w:t>Necessity of i</w:t>
            </w:r>
            <w:r w:rsidRPr="000638BA">
              <w:t xml:space="preserve">n-channel adjacent </w:t>
            </w:r>
            <w:proofErr w:type="spellStart"/>
            <w:r w:rsidRPr="000638BA">
              <w:t>subband</w:t>
            </w:r>
            <w:proofErr w:type="spellEnd"/>
            <w:r w:rsidRPr="000638BA">
              <w:t xml:space="preserve"> blocking requirement</w:t>
            </w:r>
          </w:p>
          <w:p w14:paraId="19A33551" w14:textId="77777777" w:rsidR="00336C2C" w:rsidRDefault="00336C2C" w:rsidP="00336C2C">
            <w:pPr>
              <w:pStyle w:val="aff6"/>
              <w:widowControl/>
              <w:numPr>
                <w:ilvl w:val="0"/>
                <w:numId w:val="12"/>
              </w:numPr>
              <w:spacing w:after="120" w:line="259" w:lineRule="auto"/>
              <w:ind w:left="720" w:firstLineChars="0"/>
              <w:jc w:val="left"/>
              <w:rPr>
                <w:szCs w:val="24"/>
                <w:lang w:eastAsia="zh-CN"/>
              </w:rPr>
            </w:pPr>
            <w:r>
              <w:rPr>
                <w:szCs w:val="24"/>
                <w:lang w:eastAsia="zh-CN"/>
              </w:rPr>
              <w:t xml:space="preserve">Way forward: </w:t>
            </w:r>
          </w:p>
          <w:p w14:paraId="25411A87" w14:textId="77777777" w:rsidR="00336C2C" w:rsidRPr="0099483F" w:rsidRDefault="00336C2C" w:rsidP="00336C2C">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Cs w:val="24"/>
                <w:lang w:eastAsia="zh-CN"/>
              </w:rPr>
            </w:pPr>
            <w:r w:rsidRPr="0099483F">
              <w:rPr>
                <w:szCs w:val="24"/>
                <w:lang w:eastAsia="zh-CN"/>
              </w:rPr>
              <w:t xml:space="preserve">FFS the necessity of in-channel adjacent </w:t>
            </w:r>
            <w:proofErr w:type="spellStart"/>
            <w:r w:rsidRPr="0099483F">
              <w:rPr>
                <w:szCs w:val="24"/>
                <w:lang w:eastAsia="zh-CN"/>
              </w:rPr>
              <w:t>subband</w:t>
            </w:r>
            <w:proofErr w:type="spellEnd"/>
            <w:r w:rsidRPr="0099483F">
              <w:rPr>
                <w:szCs w:val="24"/>
                <w:lang w:eastAsia="zh-CN"/>
              </w:rPr>
              <w:t xml:space="preserve"> </w:t>
            </w:r>
            <w:r w:rsidRPr="0099483F">
              <w:rPr>
                <w:lang w:val="en-US"/>
              </w:rPr>
              <w:t xml:space="preserve">blocking </w:t>
            </w:r>
            <w:r w:rsidRPr="0099483F">
              <w:rPr>
                <w:szCs w:val="24"/>
                <w:lang w:eastAsia="zh-CN"/>
              </w:rPr>
              <w:t>requirements</w:t>
            </w:r>
          </w:p>
          <w:p w14:paraId="4DA36610" w14:textId="77777777" w:rsidR="00336C2C" w:rsidRPr="0099483F" w:rsidRDefault="00336C2C" w:rsidP="00336C2C">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Cs w:val="24"/>
                <w:lang w:eastAsia="zh-CN"/>
              </w:rPr>
            </w:pPr>
            <w:r w:rsidRPr="0099483F">
              <w:rPr>
                <w:szCs w:val="24"/>
                <w:lang w:eastAsia="zh-CN"/>
              </w:rPr>
              <w:t xml:space="preserve">Option 1: No necessity to introduce new requirement for in-channel adjacent </w:t>
            </w:r>
            <w:proofErr w:type="spellStart"/>
            <w:r w:rsidRPr="0099483F">
              <w:rPr>
                <w:szCs w:val="24"/>
                <w:lang w:eastAsia="zh-CN"/>
              </w:rPr>
              <w:t>subband</w:t>
            </w:r>
            <w:proofErr w:type="spellEnd"/>
            <w:r w:rsidRPr="0099483F">
              <w:rPr>
                <w:szCs w:val="24"/>
                <w:lang w:eastAsia="zh-CN"/>
              </w:rPr>
              <w:t xml:space="preserve"> blocking. </w:t>
            </w:r>
          </w:p>
          <w:p w14:paraId="7E044887" w14:textId="14BF570E" w:rsidR="0067071C" w:rsidRPr="00336C2C" w:rsidRDefault="00336C2C" w:rsidP="00336C2C">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Cs w:val="24"/>
                <w:lang w:eastAsia="zh-CN"/>
              </w:rPr>
            </w:pPr>
            <w:r w:rsidRPr="0099483F">
              <w:rPr>
                <w:szCs w:val="24"/>
                <w:lang w:eastAsia="zh-CN"/>
              </w:rPr>
              <w:t xml:space="preserve">Option 2: New requirement for in-channel adjacent </w:t>
            </w:r>
            <w:proofErr w:type="spellStart"/>
            <w:r w:rsidRPr="0099483F">
              <w:rPr>
                <w:szCs w:val="24"/>
                <w:lang w:eastAsia="zh-CN"/>
              </w:rPr>
              <w:t>subband</w:t>
            </w:r>
            <w:proofErr w:type="spellEnd"/>
            <w:r w:rsidRPr="0099483F">
              <w:rPr>
                <w:szCs w:val="24"/>
                <w:lang w:eastAsia="zh-CN"/>
              </w:rPr>
              <w:t xml:space="preserve"> blocking should be defined. </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7AE1C73C" w14:textId="46EB4EFA" w:rsidR="005114B4" w:rsidRDefault="005114B4" w:rsidP="005114B4">
      <w:pPr>
        <w:pStyle w:val="2"/>
        <w:spacing w:after="240"/>
      </w:pPr>
      <w:r>
        <w:t xml:space="preserve">The </w:t>
      </w:r>
      <w:r w:rsidR="00FB06BE">
        <w:t>requirement for transient period for SBFD</w:t>
      </w:r>
    </w:p>
    <w:p w14:paraId="4A7989AA" w14:textId="41C81567" w:rsidR="00F75D1C" w:rsidRDefault="005A341D" w:rsidP="00903F53">
      <w:pPr>
        <w:jc w:val="both"/>
      </w:pPr>
      <w:r>
        <w:t>In previous meeting, conclusion on this issue was achieved</w:t>
      </w:r>
      <w:r w:rsidR="00EC1F5F">
        <w:t>. While there will be t</w:t>
      </w:r>
      <w:r w:rsidR="00EC1F5F" w:rsidRPr="00EC1F5F">
        <w:t>ransient period between SBFD and non-SBFD</w:t>
      </w:r>
      <w:r w:rsidR="00EC1F5F">
        <w:t xml:space="preserve"> slot, </w:t>
      </w:r>
      <w:r w:rsidR="00B46FD3">
        <w:t xml:space="preserve">it is no need to </w:t>
      </w:r>
      <w:r w:rsidR="00B46FD3" w:rsidRPr="00A9520A">
        <w:rPr>
          <w:lang w:val="en-AU"/>
        </w:rPr>
        <w:t>specify transmitter transient period requirement between different SBFD configurations</w:t>
      </w:r>
      <w:r w:rsidR="00B46FD3">
        <w:rPr>
          <w:lang w:val="en-AU"/>
        </w:rPr>
        <w:t xml:space="preserve">. The </w:t>
      </w:r>
      <w:r w:rsidR="00B46FD3">
        <w:rPr>
          <w:lang w:val="en-AU"/>
        </w:rPr>
        <w:lastRenderedPageBreak/>
        <w:t xml:space="preserve">remaining issue is to determine where the transient period will be. Our preference is to select SBFD slot to accommodate the transient period for the necessary </w:t>
      </w:r>
      <w:r w:rsidR="00B46FD3">
        <w:rPr>
          <w:szCs w:val="24"/>
          <w:lang w:val="en-US"/>
        </w:rPr>
        <w:t xml:space="preserve">RF resource rearrangement, so the TDD slot can be intact.   </w:t>
      </w:r>
      <w:r w:rsidR="00B46FD3">
        <w:rPr>
          <w:lang w:val="en-AU"/>
        </w:rPr>
        <w:t xml:space="preserve"> </w:t>
      </w:r>
    </w:p>
    <w:p w14:paraId="3A566707" w14:textId="4D3146D7" w:rsidR="00903F53" w:rsidRPr="00B46FD3" w:rsidRDefault="00903F53" w:rsidP="00B46FD3">
      <w:pPr>
        <w:jc w:val="both"/>
        <w:rPr>
          <w:b/>
          <w:i/>
        </w:rPr>
      </w:pPr>
      <w:r>
        <w:rPr>
          <w:b/>
          <w:i/>
        </w:rPr>
        <w:t xml:space="preserve">Proposal 1: </w:t>
      </w:r>
      <w:r w:rsidR="00B46FD3" w:rsidRPr="00B46FD3">
        <w:rPr>
          <w:b/>
          <w:i/>
        </w:rPr>
        <w:t xml:space="preserve">The location of transient period between SBFD and non-SBFD shall be located within the SBFD slot/symbol. </w:t>
      </w:r>
    </w:p>
    <w:p w14:paraId="1AAEBA5C" w14:textId="77777777" w:rsidR="000A2099" w:rsidRDefault="000A2099" w:rsidP="009B7DF8">
      <w:pPr>
        <w:jc w:val="both"/>
      </w:pPr>
    </w:p>
    <w:p w14:paraId="16BC3674" w14:textId="18A793B7" w:rsidR="000B2DA5" w:rsidRDefault="000B2DA5" w:rsidP="000B2DA5">
      <w:pPr>
        <w:pStyle w:val="2"/>
        <w:spacing w:after="240"/>
      </w:pPr>
      <w:r>
        <w:t xml:space="preserve">In-channel adjacent </w:t>
      </w:r>
      <w:proofErr w:type="spellStart"/>
      <w:r>
        <w:t>subband</w:t>
      </w:r>
      <w:proofErr w:type="spellEnd"/>
      <w:r>
        <w:t xml:space="preserve"> requirement for SBFD</w:t>
      </w:r>
    </w:p>
    <w:p w14:paraId="65CCDE80" w14:textId="38ACDD7E" w:rsidR="00E71A93" w:rsidRDefault="00E71A93" w:rsidP="009B7DF8">
      <w:pPr>
        <w:jc w:val="both"/>
      </w:pPr>
      <w:r>
        <w:t xml:space="preserve">On one hand, we do share the understanding that in-channel adjacent </w:t>
      </w:r>
      <w:proofErr w:type="spellStart"/>
      <w:r>
        <w:t>subband</w:t>
      </w:r>
      <w:proofErr w:type="spellEnd"/>
      <w:r>
        <w:t xml:space="preserve"> requirement could be needed in order to guarantee certain performance level under self-interference. On the other hand, the potential solutions to overcome that would highly depend on vendors but very hard to be reflected in this</w:t>
      </w:r>
      <w:r w:rsidR="006918D8">
        <w:t xml:space="preserve"> new</w:t>
      </w:r>
      <w:r>
        <w:t xml:space="preserve"> requirement since it must be based on specific implementation assumptions. Somehow, the REFSENS requirement for SBFD will reflect the expected suppression on the self-interference </w:t>
      </w:r>
      <w:r w:rsidR="00FA6A9C">
        <w:t>from</w:t>
      </w:r>
      <w:r>
        <w:t xml:space="preserve"> feasible solutions.</w:t>
      </w:r>
    </w:p>
    <w:p w14:paraId="07EA3374" w14:textId="60C18A22" w:rsidR="000B2DA5" w:rsidRDefault="00E71A93" w:rsidP="009B7DF8">
      <w:pPr>
        <w:jc w:val="both"/>
      </w:pPr>
      <w:r>
        <w:rPr>
          <w:b/>
          <w:i/>
        </w:rPr>
        <w:t xml:space="preserve">Observation: For </w:t>
      </w:r>
      <w:r w:rsidRPr="00E71A93">
        <w:rPr>
          <w:b/>
          <w:i/>
        </w:rPr>
        <w:t xml:space="preserve">in-channel adjacent </w:t>
      </w:r>
      <w:proofErr w:type="spellStart"/>
      <w:r w:rsidRPr="00E71A93">
        <w:rPr>
          <w:b/>
          <w:i/>
        </w:rPr>
        <w:t>subband</w:t>
      </w:r>
      <w:proofErr w:type="spellEnd"/>
      <w:r w:rsidRPr="00E71A93">
        <w:rPr>
          <w:b/>
          <w:i/>
        </w:rPr>
        <w:t xml:space="preserve"> leakage ratio</w:t>
      </w:r>
      <w:r>
        <w:rPr>
          <w:b/>
          <w:i/>
        </w:rPr>
        <w:t xml:space="preserve"> derivation, i</w:t>
      </w:r>
      <w:r w:rsidRPr="00E71A93">
        <w:rPr>
          <w:b/>
          <w:i/>
        </w:rPr>
        <w:t>t is difficult for RAN4 to agree on a reference scheme fo</w:t>
      </w:r>
      <w:r>
        <w:rPr>
          <w:b/>
          <w:i/>
        </w:rPr>
        <w:t>r self-interference suppression.</w:t>
      </w:r>
      <w:r w:rsidR="00BA2143">
        <w:rPr>
          <w:b/>
          <w:i/>
        </w:rPr>
        <w:t xml:space="preserve"> While the REFSENS for SBFD will reflect such suppression to some extent.</w:t>
      </w:r>
    </w:p>
    <w:p w14:paraId="3EC49606" w14:textId="5DB85395" w:rsidR="000B2DA5" w:rsidRDefault="006918D8" w:rsidP="009B7DF8">
      <w:pPr>
        <w:jc w:val="both"/>
      </w:pPr>
      <w:r>
        <w:t xml:space="preserve">We also have similar feelings for other intra-operator gNB-gNB interference e.g. inter-site or co-site inter-sector cases. It could be hard to align companies understanding regarding power level, interference handling solutions or other issues that will also be involved not only in requirements derivation but also in test setup.  </w:t>
      </w:r>
    </w:p>
    <w:p w14:paraId="03916043" w14:textId="4F0272C5" w:rsidR="006918D8" w:rsidRDefault="00FA6A9C" w:rsidP="009B7DF8">
      <w:pPr>
        <w:jc w:val="both"/>
      </w:pPr>
      <w:r>
        <w:rPr>
          <w:b/>
          <w:i/>
        </w:rPr>
        <w:t xml:space="preserve">Proposal 2: </w:t>
      </w:r>
      <w:r w:rsidR="007F5139">
        <w:rPr>
          <w:b/>
          <w:i/>
        </w:rPr>
        <w:t xml:space="preserve">Prefer not to introduce new requirement for </w:t>
      </w:r>
      <w:r w:rsidR="007F5139" w:rsidRPr="007F5139">
        <w:rPr>
          <w:b/>
          <w:i/>
        </w:rPr>
        <w:t xml:space="preserve">in-channel adjacent </w:t>
      </w:r>
      <w:proofErr w:type="spellStart"/>
      <w:r w:rsidR="007F5139" w:rsidRPr="007F5139">
        <w:rPr>
          <w:b/>
          <w:i/>
        </w:rPr>
        <w:t>subband</w:t>
      </w:r>
      <w:proofErr w:type="spellEnd"/>
      <w:r w:rsidR="007F5139" w:rsidRPr="007F5139">
        <w:rPr>
          <w:b/>
          <w:i/>
        </w:rPr>
        <w:t xml:space="preserve"> leakage ratio</w:t>
      </w:r>
      <w:r>
        <w:rPr>
          <w:b/>
          <w:i/>
        </w:rPr>
        <w:t>.</w:t>
      </w:r>
    </w:p>
    <w:p w14:paraId="7B26A83A" w14:textId="15001134" w:rsidR="006918D8" w:rsidRDefault="00FA6A9C" w:rsidP="009B7DF8">
      <w:pPr>
        <w:jc w:val="both"/>
      </w:pPr>
      <w:r>
        <w:rPr>
          <w:b/>
          <w:i/>
        </w:rPr>
        <w:t xml:space="preserve">Proposal 3: </w:t>
      </w:r>
      <w:r w:rsidR="007F5139">
        <w:rPr>
          <w:b/>
          <w:i/>
        </w:rPr>
        <w:t xml:space="preserve">Prefer not to introduce new requirement for </w:t>
      </w:r>
      <w:r w:rsidR="007F5139" w:rsidRPr="007F5139">
        <w:rPr>
          <w:b/>
          <w:i/>
        </w:rPr>
        <w:t xml:space="preserve">in-channel adjacent </w:t>
      </w:r>
      <w:proofErr w:type="spellStart"/>
      <w:r w:rsidR="007F5139" w:rsidRPr="007F5139">
        <w:rPr>
          <w:b/>
          <w:i/>
        </w:rPr>
        <w:t>subband</w:t>
      </w:r>
      <w:proofErr w:type="spellEnd"/>
      <w:r w:rsidR="007F5139" w:rsidRPr="007F5139">
        <w:rPr>
          <w:b/>
          <w:i/>
        </w:rPr>
        <w:t xml:space="preserve"> </w:t>
      </w:r>
      <w:r w:rsidR="007F5139">
        <w:rPr>
          <w:b/>
          <w:i/>
        </w:rPr>
        <w:t>selectivity or blocking</w:t>
      </w:r>
      <w:r w:rsidR="007F5139">
        <w:rPr>
          <w:rFonts w:hint="eastAsia"/>
          <w:b/>
          <w:i/>
        </w:rPr>
        <w:t>.</w:t>
      </w:r>
    </w:p>
    <w:p w14:paraId="4EF0019A" w14:textId="77777777" w:rsidR="00903F53" w:rsidRPr="008575B1" w:rsidRDefault="00903F53"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508D595"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893344">
        <w:t xml:space="preserve"> observation and</w:t>
      </w:r>
      <w:r w:rsidR="00312E2F">
        <w:t xml:space="preserve"> </w:t>
      </w:r>
      <w:r w:rsidRPr="00086BFD">
        <w:t>proposal</w:t>
      </w:r>
      <w:r w:rsidR="00C854F5">
        <w:t>s</w:t>
      </w:r>
      <w:r w:rsidRPr="00086BFD">
        <w:t>:</w:t>
      </w:r>
    </w:p>
    <w:p w14:paraId="3ACD64DE" w14:textId="77777777" w:rsidR="007F5139" w:rsidRDefault="007F5139" w:rsidP="007F5139">
      <w:pPr>
        <w:jc w:val="both"/>
      </w:pPr>
      <w:r>
        <w:rPr>
          <w:b/>
          <w:i/>
        </w:rPr>
        <w:t xml:space="preserve">Observation: For </w:t>
      </w:r>
      <w:r w:rsidRPr="00E71A93">
        <w:rPr>
          <w:b/>
          <w:i/>
        </w:rPr>
        <w:t xml:space="preserve">in-channel adjacent </w:t>
      </w:r>
      <w:proofErr w:type="spellStart"/>
      <w:r w:rsidRPr="00E71A93">
        <w:rPr>
          <w:b/>
          <w:i/>
        </w:rPr>
        <w:t>subband</w:t>
      </w:r>
      <w:proofErr w:type="spellEnd"/>
      <w:r w:rsidRPr="00E71A93">
        <w:rPr>
          <w:b/>
          <w:i/>
        </w:rPr>
        <w:t xml:space="preserve"> leakage ratio</w:t>
      </w:r>
      <w:r>
        <w:rPr>
          <w:b/>
          <w:i/>
        </w:rPr>
        <w:t xml:space="preserve"> derivation, i</w:t>
      </w:r>
      <w:r w:rsidRPr="00E71A93">
        <w:rPr>
          <w:b/>
          <w:i/>
        </w:rPr>
        <w:t>t is difficult for RAN4 to agree on a reference scheme fo</w:t>
      </w:r>
      <w:r>
        <w:rPr>
          <w:b/>
          <w:i/>
        </w:rPr>
        <w:t>r self-interference suppression. While the REFSENS for SBFD will reflect such suppression to some extent.</w:t>
      </w:r>
    </w:p>
    <w:p w14:paraId="1B963751" w14:textId="5B2B8E04" w:rsidR="007F5139" w:rsidRDefault="001301CB" w:rsidP="007F5139">
      <w:pPr>
        <w:jc w:val="both"/>
        <w:rPr>
          <w:b/>
          <w:i/>
        </w:rPr>
      </w:pPr>
      <w:r>
        <w:rPr>
          <w:b/>
          <w:i/>
        </w:rPr>
        <w:t xml:space="preserve">Proposal 1: </w:t>
      </w:r>
      <w:r w:rsidRPr="00B46FD3">
        <w:rPr>
          <w:b/>
          <w:i/>
        </w:rPr>
        <w:t xml:space="preserve">The location of transient period between SBFD and non-SBFD shall be located within the SBFD slot/symbol. </w:t>
      </w:r>
    </w:p>
    <w:p w14:paraId="226A9AB7" w14:textId="77777777" w:rsidR="007F5139" w:rsidRDefault="007F5139" w:rsidP="007F5139">
      <w:pPr>
        <w:jc w:val="both"/>
      </w:pPr>
      <w:r>
        <w:rPr>
          <w:b/>
          <w:i/>
        </w:rPr>
        <w:t xml:space="preserve">Proposal 2: Prefer not to introduce new requirement for </w:t>
      </w:r>
      <w:r w:rsidRPr="007F5139">
        <w:rPr>
          <w:b/>
          <w:i/>
        </w:rPr>
        <w:t xml:space="preserve">in-channel adjacent </w:t>
      </w:r>
      <w:proofErr w:type="spellStart"/>
      <w:r w:rsidRPr="007F5139">
        <w:rPr>
          <w:b/>
          <w:i/>
        </w:rPr>
        <w:t>subband</w:t>
      </w:r>
      <w:proofErr w:type="spellEnd"/>
      <w:r w:rsidRPr="007F5139">
        <w:rPr>
          <w:b/>
          <w:i/>
        </w:rPr>
        <w:t xml:space="preserve"> leakage ratio</w:t>
      </w:r>
      <w:r>
        <w:rPr>
          <w:b/>
          <w:i/>
        </w:rPr>
        <w:t>.</w:t>
      </w:r>
    </w:p>
    <w:p w14:paraId="6EBE3386" w14:textId="77777777" w:rsidR="007F5139" w:rsidRDefault="007F5139" w:rsidP="007F5139">
      <w:pPr>
        <w:jc w:val="both"/>
      </w:pPr>
      <w:r>
        <w:rPr>
          <w:b/>
          <w:i/>
        </w:rPr>
        <w:t xml:space="preserve">Proposal 3: Prefer not to introduce new requirement for </w:t>
      </w:r>
      <w:r w:rsidRPr="007F5139">
        <w:rPr>
          <w:b/>
          <w:i/>
        </w:rPr>
        <w:t xml:space="preserve">in-channel adjacent </w:t>
      </w:r>
      <w:proofErr w:type="spellStart"/>
      <w:r w:rsidRPr="007F5139">
        <w:rPr>
          <w:b/>
          <w:i/>
        </w:rPr>
        <w:t>subband</w:t>
      </w:r>
      <w:proofErr w:type="spellEnd"/>
      <w:r w:rsidRPr="007F5139">
        <w:rPr>
          <w:b/>
          <w:i/>
        </w:rPr>
        <w:t xml:space="preserve"> </w:t>
      </w:r>
      <w:r>
        <w:rPr>
          <w:b/>
          <w:i/>
        </w:rPr>
        <w:t>selectivity or blocking</w:t>
      </w:r>
      <w:r>
        <w:rPr>
          <w:rFonts w:hint="eastAsia"/>
          <w:b/>
          <w:i/>
        </w:rPr>
        <w:t>.</w:t>
      </w:r>
    </w:p>
    <w:p w14:paraId="18CB83EC" w14:textId="77777777" w:rsidR="00472976" w:rsidRPr="00472976" w:rsidRDefault="00472976"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0F402BE6" w:rsidR="0067071C" w:rsidRPr="008B3BED"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C36C43">
        <w:t>2413514</w:t>
      </w:r>
      <w:r w:rsidR="00212750">
        <w:t xml:space="preserve">, </w:t>
      </w:r>
      <w:r w:rsidR="00212750" w:rsidRPr="001D14BB">
        <w:t>“</w:t>
      </w:r>
      <w:r w:rsidR="000669F9" w:rsidRPr="000669F9">
        <w:t xml:space="preserve">Way Forward for </w:t>
      </w:r>
      <w:r w:rsidR="00C36C43" w:rsidRPr="00C36C43">
        <w:t xml:space="preserve">[112][307] </w:t>
      </w:r>
      <w:proofErr w:type="spellStart"/>
      <w:r w:rsidR="00C36C43" w:rsidRPr="00C36C43">
        <w:t>NR_duplex_evo</w:t>
      </w:r>
      <w:proofErr w:type="spellEnd"/>
      <w:r w:rsidR="00C36C43" w:rsidRPr="00C36C43">
        <w:rPr>
          <w:lang w:val="en-AU"/>
        </w:rPr>
        <w:t>_General</w:t>
      </w:r>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w:t>
      </w:r>
      <w:r w:rsidR="00C36C43">
        <w:t>2</w:t>
      </w:r>
      <w:r w:rsidR="00212750" w:rsidRPr="001D14BB">
        <w:t xml:space="preserve">, </w:t>
      </w:r>
      <w:r w:rsidR="00C36C43" w:rsidRPr="00C36C43">
        <w:t>Maastricht, Netherlands</w:t>
      </w:r>
      <w:r w:rsidR="0067071C">
        <w:t>,</w:t>
      </w:r>
      <w:r w:rsidR="001D14BB" w:rsidRPr="001D14BB">
        <w:t xml:space="preserve"> </w:t>
      </w:r>
      <w:r w:rsidR="00C36C43">
        <w:t>August</w:t>
      </w:r>
      <w:r w:rsidR="001D14BB" w:rsidRPr="001D14BB">
        <w:t xml:space="preserve"> </w:t>
      </w:r>
      <w:r w:rsidR="00C36C43">
        <w:t>19</w:t>
      </w:r>
      <w:r w:rsidR="0067071C">
        <w:t>-</w:t>
      </w:r>
      <w:r w:rsidR="00C36C43">
        <w:t>23</w:t>
      </w:r>
      <w:r w:rsidR="001D14BB" w:rsidRPr="001D14BB">
        <w:t>, 2024</w:t>
      </w:r>
      <w:r w:rsidR="00BB41AF">
        <w:t>.</w:t>
      </w:r>
    </w:p>
    <w:sectPr w:rsidR="0067071C" w:rsidRPr="008B3BED"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D65E6" w14:textId="77777777" w:rsidR="00146FF8" w:rsidRDefault="00146FF8" w:rsidP="0052762B">
      <w:r>
        <w:separator/>
      </w:r>
    </w:p>
  </w:endnote>
  <w:endnote w:type="continuationSeparator" w:id="0">
    <w:p w14:paraId="1B6ACA4D" w14:textId="77777777" w:rsidR="00146FF8" w:rsidRDefault="00146FF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DE058" w14:textId="77777777" w:rsidR="00146FF8" w:rsidRDefault="00146FF8" w:rsidP="0052762B">
      <w:r>
        <w:separator/>
      </w:r>
    </w:p>
  </w:footnote>
  <w:footnote w:type="continuationSeparator" w:id="0">
    <w:p w14:paraId="2A4366AA" w14:textId="77777777" w:rsidR="00146FF8" w:rsidRDefault="00146FF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8"/>
  </w:num>
  <w:num w:numId="4">
    <w:abstractNumId w:val="17"/>
  </w:num>
  <w:num w:numId="5">
    <w:abstractNumId w:val="16"/>
  </w:num>
  <w:num w:numId="6">
    <w:abstractNumId w:val="5"/>
  </w:num>
  <w:num w:numId="7">
    <w:abstractNumId w:val="13"/>
  </w:num>
  <w:num w:numId="8">
    <w:abstractNumId w:val="19"/>
  </w:num>
  <w:num w:numId="9">
    <w:abstractNumId w:val="4"/>
  </w:num>
  <w:num w:numId="10">
    <w:abstractNumId w:val="1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0"/>
  </w:num>
  <w:num w:numId="14">
    <w:abstractNumId w:val="15"/>
  </w:num>
  <w:num w:numId="15">
    <w:abstractNumId w:val="1"/>
  </w:num>
  <w:num w:numId="16">
    <w:abstractNumId w:val="7"/>
  </w:num>
  <w:num w:numId="17">
    <w:abstractNumId w:val="0"/>
  </w:num>
  <w:num w:numId="18">
    <w:abstractNumId w:val="3"/>
  </w:num>
  <w:num w:numId="19">
    <w:abstractNumId w:val="9"/>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6FD3"/>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1F5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B4F0F-5D9C-4C91-844D-FD1057B8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1031</TotalTime>
  <Pages>3</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61</cp:revision>
  <cp:lastPrinted>2010-01-07T02:23:00Z</cp:lastPrinted>
  <dcterms:created xsi:type="dcterms:W3CDTF">2024-05-13T12:12:00Z</dcterms:created>
  <dcterms:modified xsi:type="dcterms:W3CDTF">2024-10-07T09:35:00Z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1726653229</vt:lpwstr>
  </property>
</Properties>
</file>